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E5C7" w14:textId="77777777" w:rsidR="00683924" w:rsidRDefault="00000000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小标宋" w:hAnsi="Times New Roman" w:cs="Times New Roman"/>
          <w:sz w:val="44"/>
          <w:szCs w:val="44"/>
        </w:rPr>
        <w:t>806-</w:t>
      </w:r>
      <w:r>
        <w:rPr>
          <w:rFonts w:ascii="Times New Roman" w:eastAsia="小标宋" w:hAnsi="Times New Roman" w:cs="Times New Roman"/>
          <w:sz w:val="44"/>
          <w:szCs w:val="44"/>
        </w:rPr>
        <w:t>汽车理论考试大纲</w:t>
      </w:r>
    </w:p>
    <w:p w14:paraId="4E56D0D9" w14:textId="77777777" w:rsidR="00291D6B" w:rsidRDefault="00291D6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6ED7278E" w14:textId="09CE671F" w:rsidR="00683924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560F7DD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汽车理论科目主要考察考生</w:t>
      </w:r>
      <w:r>
        <w:rPr>
          <w:rFonts w:ascii="Times New Roman" w:eastAsia="仿宋_GB2312" w:hAnsi="Times New Roman" w:cs="Times New Roman"/>
          <w:sz w:val="32"/>
          <w:szCs w:val="32"/>
        </w:rPr>
        <w:t>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与汽车动力学有关的动力性、燃油经济性、制动性、操纵稳定性、行驶平顺性和通过性等汽车各主要使用</w:t>
      </w:r>
      <w:r>
        <w:rPr>
          <w:rFonts w:ascii="Times New Roman" w:eastAsia="仿宋_GB2312" w:hAnsi="Times New Roman" w:cs="Times New Roman"/>
          <w:sz w:val="32"/>
          <w:szCs w:val="32"/>
        </w:rPr>
        <w:t>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、理论、</w:t>
      </w:r>
      <w:r>
        <w:rPr>
          <w:rFonts w:ascii="Times New Roman" w:eastAsia="仿宋_GB2312" w:hAnsi="Times New Roman" w:cs="Times New Roman"/>
          <w:sz w:val="32"/>
          <w:szCs w:val="32"/>
        </w:rPr>
        <w:t>评价计算分析等知识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的情况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考察考生</w:t>
      </w:r>
      <w:r>
        <w:rPr>
          <w:rFonts w:ascii="Times New Roman" w:eastAsia="仿宋_GB2312" w:hAnsi="Times New Roman" w:cs="Times New Roman"/>
          <w:sz w:val="32"/>
          <w:szCs w:val="32"/>
        </w:rPr>
        <w:t>理解汽车结构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、汽车设计</w:t>
      </w:r>
      <w:r>
        <w:rPr>
          <w:rFonts w:ascii="Times New Roman" w:eastAsia="仿宋_GB2312" w:hAnsi="Times New Roman" w:cs="Times New Roman"/>
          <w:sz w:val="32"/>
          <w:szCs w:val="32"/>
        </w:rPr>
        <w:t>与性能的联系、拓展学生视野的新技术等知识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0D72BED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试题围绕参考书目按照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的动力性、汽车的燃油经济性、汽车动力装置参数的选定、汽车的制动性、汽车的操纵稳定性、汽车的平顺性、汽车的通过性七个章节的知识进行设置，适当融入科目相关理论在汽车结构、设计中的应用，难度适中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3EDBF91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考试形式为闭卷笔试，考试时间为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小时，总分为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78336F8F" w14:textId="77777777" w:rsidR="00683924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3C5CA230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汽车的动力性</w:t>
      </w:r>
    </w:p>
    <w:p w14:paraId="78165908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汽车的</w:t>
      </w:r>
      <w:r>
        <w:rPr>
          <w:rFonts w:ascii="Times New Roman" w:eastAsia="仿宋_GB2312" w:hAnsi="Times New Roman" w:cs="Times New Roman"/>
          <w:sz w:val="32"/>
          <w:szCs w:val="32"/>
        </w:rPr>
        <w:t>动力性指标；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、汽车的驱动力与行驶阻力；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、汽车的驱动力与行驶阻力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平衡图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与动力特性图；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、汽车行驶的附着条件与汽车的附着率；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、汽车的功率平衡；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、装有液力变矩器的汽车的动力性；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、汽车动力性相关理论的应用。</w:t>
      </w:r>
    </w:p>
    <w:p w14:paraId="5AABFF28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要求：掌握动力性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定义、评价</w:t>
      </w:r>
      <w:r>
        <w:rPr>
          <w:rFonts w:ascii="Times New Roman" w:eastAsia="仿宋_GB2312" w:hAnsi="Times New Roman" w:cs="Times New Roman"/>
          <w:sz w:val="32"/>
          <w:szCs w:val="32"/>
        </w:rPr>
        <w:t>指标及汽车的驱动力、汽车的行驶阻力的概念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；掌握汽车行驶方程式，汽车的行驶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条件与附着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>
        <w:rPr>
          <w:rFonts w:ascii="Times New Roman" w:eastAsia="仿宋_GB2312" w:hAnsi="Times New Roman" w:cs="Times New Roman"/>
          <w:sz w:val="32"/>
          <w:szCs w:val="32"/>
        </w:rPr>
        <w:t>；了解汽车的驱动力与行驶阻力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平衡图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动力特性图的意义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制取方法；掌握汽车的附着条件与汽车的附着率的概念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；掌握汽车的功率平衡图；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掌握</w:t>
      </w:r>
      <w:r>
        <w:rPr>
          <w:rFonts w:ascii="Times New Roman" w:eastAsia="仿宋_GB2312" w:hAnsi="Times New Roman" w:cs="Times New Roman"/>
          <w:sz w:val="32"/>
          <w:szCs w:val="32"/>
        </w:rPr>
        <w:t>汽车动力性相关的计算；了解装有液力变矩器的汽车的动力性。</w:t>
      </w:r>
    </w:p>
    <w:p w14:paraId="12E6E679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汽车的燃油经济性</w:t>
      </w:r>
    </w:p>
    <w:p w14:paraId="7F5978BB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燃油经济性的评价指标；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燃油经济性的计算；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、影响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汽车燃油</w:t>
      </w:r>
      <w:r>
        <w:rPr>
          <w:rFonts w:ascii="Times New Roman" w:eastAsia="仿宋_GB2312" w:hAnsi="Times New Roman" w:cs="Times New Roman"/>
          <w:sz w:val="32"/>
          <w:szCs w:val="32"/>
        </w:rPr>
        <w:t>经济性的因素；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、装有液力变矩器的汽车的燃油经济性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计算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、电动汽车的经济性。</w:t>
      </w:r>
    </w:p>
    <w:p w14:paraId="0B501072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要求：掌握燃油经济性的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定义和</w:t>
      </w:r>
      <w:r>
        <w:rPr>
          <w:rFonts w:ascii="Times New Roman" w:eastAsia="仿宋_GB2312" w:hAnsi="Times New Roman" w:cs="Times New Roman"/>
          <w:sz w:val="32"/>
          <w:szCs w:val="32"/>
        </w:rPr>
        <w:t>评价指标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，掌握燃油经济性的计算方法；掌握影响经济性的因素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及改善燃油经济性的措施；</w:t>
      </w:r>
      <w:r>
        <w:rPr>
          <w:rFonts w:ascii="Times New Roman" w:eastAsia="仿宋_GB2312" w:hAnsi="Times New Roman" w:cs="Times New Roman"/>
          <w:sz w:val="32"/>
          <w:szCs w:val="32"/>
        </w:rPr>
        <w:t>了解装有液力变矩器的汽车的燃油经济性；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了解纯电动汽车和混合动力电动汽车的经济性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7A24388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汽车动力性装置参数的选择</w:t>
      </w:r>
    </w:p>
    <w:p w14:paraId="1C73DFA1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、发动机功率的选择；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、最小传动比的选择；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、最大传动比的选择；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、传动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数和各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、利用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燃油经济性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加速时间</w:t>
      </w:r>
      <w:r>
        <w:rPr>
          <w:rFonts w:ascii="Times New Roman" w:eastAsia="仿宋_GB2312" w:hAnsi="Times New Roman" w:cs="Times New Roman"/>
          <w:sz w:val="32"/>
          <w:szCs w:val="32"/>
        </w:rPr>
        <w:t>曲线确定动力性装置参数。</w:t>
      </w:r>
    </w:p>
    <w:p w14:paraId="6A32E1D2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要求：掌握发动机功率选择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掌握最小传动比的选择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相关定义和原则</w:t>
      </w:r>
      <w:r>
        <w:rPr>
          <w:rFonts w:ascii="Times New Roman" w:eastAsia="仿宋_GB2312" w:hAnsi="Times New Roman" w:cs="Times New Roman"/>
          <w:sz w:val="32"/>
          <w:szCs w:val="32"/>
        </w:rPr>
        <w:t>；掌握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影响</w:t>
      </w:r>
      <w:r>
        <w:rPr>
          <w:rFonts w:ascii="Times New Roman" w:eastAsia="仿宋_GB2312" w:hAnsi="Times New Roman" w:cs="Times New Roman"/>
          <w:sz w:val="32"/>
          <w:szCs w:val="32"/>
        </w:rPr>
        <w:t>最大传动比的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因素和</w:t>
      </w:r>
      <w:r>
        <w:rPr>
          <w:rFonts w:ascii="Times New Roman" w:eastAsia="仿宋_GB2312" w:hAnsi="Times New Roman" w:cs="Times New Roman"/>
          <w:sz w:val="32"/>
          <w:szCs w:val="32"/>
        </w:rPr>
        <w:t>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原则；</w:t>
      </w:r>
      <w:r>
        <w:rPr>
          <w:rFonts w:ascii="Times New Roman" w:eastAsia="仿宋_GB2312" w:hAnsi="Times New Roman" w:cs="Times New Roman"/>
          <w:sz w:val="32"/>
          <w:szCs w:val="32"/>
        </w:rPr>
        <w:t>掌握传动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的确定依据及相关理论、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传动比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>
        <w:rPr>
          <w:rFonts w:ascii="Times New Roman" w:eastAsia="仿宋_GB2312" w:hAnsi="Times New Roman" w:cs="Times New Roman"/>
          <w:sz w:val="32"/>
          <w:szCs w:val="32"/>
        </w:rPr>
        <w:t>；掌握利用</w:t>
      </w:r>
      <w:r>
        <w:rPr>
          <w:rFonts w:ascii="Times New Roman" w:eastAsia="仿宋_GB2312" w:hAnsi="Times New Roman" w:cs="Times New Roman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sz w:val="32"/>
          <w:szCs w:val="32"/>
        </w:rPr>
        <w:t>曲线确定动力性装置的参数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的选择及匹配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3DB4091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汽车的制动性</w:t>
      </w:r>
    </w:p>
    <w:p w14:paraId="61639984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、制动性的评价指标；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、制动时的车轮受力；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车的</w:t>
      </w:r>
      <w:r>
        <w:rPr>
          <w:rFonts w:ascii="Times New Roman" w:eastAsia="仿宋_GB2312" w:hAnsi="Times New Roman" w:cs="Times New Roman"/>
          <w:sz w:val="32"/>
          <w:szCs w:val="32"/>
        </w:rPr>
        <w:t>制动效能及其恒定性；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、制动时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的方向稳定性；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后制动器制动力的比例关系；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、制动性理论相关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应用。</w:t>
      </w:r>
    </w:p>
    <w:p w14:paraId="75701405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制动性的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定义和</w:t>
      </w:r>
      <w:r>
        <w:rPr>
          <w:rFonts w:ascii="Times New Roman" w:eastAsia="仿宋_GB2312" w:hAnsi="Times New Roman" w:cs="Times New Roman"/>
          <w:sz w:val="32"/>
          <w:szCs w:val="32"/>
        </w:rPr>
        <w:t>评价指标，掌握制动时的车轮受力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>
        <w:rPr>
          <w:rFonts w:ascii="Times New Roman" w:eastAsia="仿宋_GB2312" w:hAnsi="Times New Roman" w:cs="Times New Roman"/>
          <w:sz w:val="32"/>
          <w:szCs w:val="32"/>
        </w:rPr>
        <w:t>；掌握制动效能的概念及评定指标的计算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，了解制动效能恒定性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；掌握制动时的方向稳定性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；掌握前、后制动器制动力的比例关系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；掌握汽车制动性相关的计算。</w:t>
      </w:r>
    </w:p>
    <w:p w14:paraId="3627F174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第五章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</w:p>
    <w:p w14:paraId="34B7FD9A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概述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、轮胎的侧偏特性；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、线性二自由度汽车模型对前轮角输入的响应；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与悬架的关系；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与转向系的关系；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与传动系的关系；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、提高操纵稳定性的电子控制系统；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、汽车的侧翻；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、汽车操纵稳定性相关理论的应用。</w:t>
      </w:r>
    </w:p>
    <w:p w14:paraId="29386248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要求：了解汽车的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研究内容与方法；掌握轮胎的侧偏特性；掌握线性二自由度汽车模型对前轮角输入的响应特性；掌握汽车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与悬架的关系；了解汽车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与转向系的关系；了解汽车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与传动系的关系；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了解提高操纵稳定性的电子控制系统及功能；</w:t>
      </w:r>
      <w:r>
        <w:rPr>
          <w:rFonts w:ascii="Times New Roman" w:eastAsia="仿宋_GB2312" w:hAnsi="Times New Roman" w:cs="Times New Roman"/>
          <w:sz w:val="32"/>
          <w:szCs w:val="32"/>
        </w:rPr>
        <w:t>掌握汽车的侧翻的条件和有关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简单</w:t>
      </w:r>
      <w:r>
        <w:rPr>
          <w:rFonts w:ascii="Times New Roman" w:eastAsia="仿宋_GB2312" w:hAnsi="Times New Roman" w:cs="Times New Roman"/>
          <w:sz w:val="32"/>
          <w:szCs w:val="32"/>
        </w:rPr>
        <w:t>计算；掌握汽车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相关的计算。</w:t>
      </w:r>
    </w:p>
    <w:p w14:paraId="564FA49B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汽车的平顺性</w:t>
      </w:r>
    </w:p>
    <w:p w14:paraId="69D5D635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、人体对振动的反应和平顺性的评价；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、路面不平度的统计特征；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汽车振动系统的简化、</w:t>
      </w:r>
      <w:r>
        <w:rPr>
          <w:rFonts w:ascii="Times New Roman" w:eastAsia="仿宋_GB2312" w:hAnsi="Times New Roman" w:cs="Times New Roman"/>
          <w:sz w:val="32"/>
          <w:szCs w:val="32"/>
        </w:rPr>
        <w:t>单质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量系统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的振动；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、车身与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车轮双质量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系统的振动；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、双轴汽车的振动；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人体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座椅</w:t>
      </w:r>
      <w:r>
        <w:rPr>
          <w:rFonts w:ascii="宋体" w:eastAsia="宋体" w:hAnsi="宋体" w:cs="宋体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系统的振动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、汽车的平顺性相关理论的应用。</w:t>
      </w:r>
    </w:p>
    <w:p w14:paraId="37BF89EB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要求：掌握人体对振动的反应和平顺性的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评价方法及指标；掌握路面不平度的统计特征的概念及计算；掌握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汽车振动系统的简化过程、</w:t>
      </w:r>
      <w:r>
        <w:rPr>
          <w:rFonts w:ascii="Times New Roman" w:eastAsia="仿宋_GB2312" w:hAnsi="Times New Roman" w:cs="Times New Roman"/>
          <w:sz w:val="32"/>
          <w:szCs w:val="32"/>
        </w:rPr>
        <w:t>单质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量系统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的振动特性分析；掌握车身与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车轮双质量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系统的振动特性分析；了解双轴汽车的振动特性分析；掌握</w:t>
      </w:r>
      <w:r>
        <w:rPr>
          <w:rFonts w:ascii="宋体" w:eastAsia="宋体" w:hAnsi="宋体" w:cs="宋体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人体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座椅</w:t>
      </w:r>
      <w:r>
        <w:rPr>
          <w:rFonts w:ascii="宋体" w:eastAsia="宋体" w:hAnsi="宋体" w:cs="宋体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系统的振动特性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掌握汽车平顺性相关的计算。</w:t>
      </w:r>
    </w:p>
    <w:p w14:paraId="525C8389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第七章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汽车的通过性</w:t>
      </w:r>
    </w:p>
    <w:p w14:paraId="3D7D24FD" w14:textId="77777777" w:rsidR="00683924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、汽车通过性评价指标及几何参数；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、松软地面的物理性质；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、车辆的挂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钩</w:t>
      </w:r>
      <w:r>
        <w:rPr>
          <w:rFonts w:ascii="Times New Roman" w:eastAsia="仿宋_GB2312" w:hAnsi="Times New Roman" w:cs="Times New Roman"/>
          <w:sz w:val="32"/>
          <w:szCs w:val="32"/>
        </w:rPr>
        <w:t>牵引力；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、汽车牵引通过性计算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BCC4B1B" w14:textId="77777777" w:rsidR="00683924" w:rsidRDefault="00000000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要求：掌握汽车通过性的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评价指标及几何参数；掌握松软地面的物理性质，掌握车辆挂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钩</w:t>
      </w:r>
      <w:r>
        <w:rPr>
          <w:rFonts w:ascii="Times New Roman" w:eastAsia="仿宋_GB2312" w:hAnsi="Times New Roman" w:cs="Times New Roman"/>
          <w:sz w:val="32"/>
          <w:szCs w:val="32"/>
        </w:rPr>
        <w:t>牵引力的概念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及应用</w:t>
      </w:r>
      <w:r>
        <w:rPr>
          <w:rFonts w:ascii="Times New Roman" w:eastAsia="仿宋_GB2312" w:hAnsi="Times New Roman" w:cs="Times New Roman"/>
          <w:sz w:val="32"/>
          <w:szCs w:val="32"/>
        </w:rPr>
        <w:t>；了解汽车牵引通过性计算方法。</w:t>
      </w:r>
    </w:p>
    <w:p w14:paraId="1664591F" w14:textId="77777777" w:rsidR="00683924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4C0A4FA8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填空题</w:t>
      </w:r>
    </w:p>
    <w:p w14:paraId="30A2D290" w14:textId="77777777" w:rsidR="00683924" w:rsidRDefault="00000000">
      <w:pPr>
        <w:spacing w:line="560" w:lineRule="exact"/>
        <w:ind w:firstLine="640"/>
        <w:rPr>
          <w:rFonts w:ascii="黑体" w:eastAsia="华文仿宋" w:hAnsi="黑体" w:hint="eastAsia"/>
          <w:sz w:val="32"/>
          <w:szCs w:val="32"/>
        </w:rPr>
      </w:pPr>
      <w:r>
        <w:rPr>
          <w:rFonts w:ascii="黑体" w:eastAsia="华文仿宋" w:hAnsi="黑体" w:hint="eastAsia"/>
          <w:sz w:val="32"/>
          <w:szCs w:val="32"/>
        </w:rPr>
        <w:t>概念及解释</w:t>
      </w:r>
    </w:p>
    <w:p w14:paraId="2F545905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5AD9AA9D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论述及分析题</w:t>
      </w:r>
    </w:p>
    <w:p w14:paraId="781C4778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计算题</w:t>
      </w:r>
    </w:p>
    <w:p w14:paraId="49D911F9" w14:textId="77777777" w:rsidR="00683924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根据情况可适当加入选择题。</w:t>
      </w:r>
    </w:p>
    <w:p w14:paraId="738C9C43" w14:textId="77777777" w:rsidR="00683924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A29900F" w14:textId="77777777" w:rsidR="00683924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汽车理论（第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版），余志生主编，机械工业出版社，</w:t>
      </w:r>
      <w:r>
        <w:rPr>
          <w:rFonts w:ascii="Times New Roman" w:eastAsia="仿宋_GB2312" w:hAnsi="Times New Roman" w:cs="Times New Roman"/>
          <w:sz w:val="32"/>
          <w:szCs w:val="32"/>
        </w:rPr>
        <w:t>ISBN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978-7-111-60239-2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683924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3725" w14:textId="77777777" w:rsidR="00CB41B5" w:rsidRDefault="00CB41B5">
      <w:pPr>
        <w:rPr>
          <w:rFonts w:hint="eastAsia"/>
        </w:rPr>
      </w:pPr>
      <w:r>
        <w:separator/>
      </w:r>
    </w:p>
  </w:endnote>
  <w:endnote w:type="continuationSeparator" w:id="0">
    <w:p w14:paraId="56F88C61" w14:textId="77777777" w:rsidR="00CB41B5" w:rsidRDefault="00CB4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683924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683924" w:rsidRDefault="0068392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C475" w14:textId="77777777" w:rsidR="00CB41B5" w:rsidRDefault="00CB41B5">
      <w:pPr>
        <w:rPr>
          <w:rFonts w:hint="eastAsia"/>
        </w:rPr>
      </w:pPr>
      <w:r>
        <w:separator/>
      </w:r>
    </w:p>
  </w:footnote>
  <w:footnote w:type="continuationSeparator" w:id="0">
    <w:p w14:paraId="41D3E729" w14:textId="77777777" w:rsidR="00CB41B5" w:rsidRDefault="00CB4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291D6B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683924"/>
    <w:rsid w:val="007D0C6D"/>
    <w:rsid w:val="009918D3"/>
    <w:rsid w:val="009B20E5"/>
    <w:rsid w:val="00AA5FA9"/>
    <w:rsid w:val="00B229F1"/>
    <w:rsid w:val="00BC01E9"/>
    <w:rsid w:val="00C43B4F"/>
    <w:rsid w:val="00CB41B5"/>
    <w:rsid w:val="00CD79F3"/>
    <w:rsid w:val="00DA3107"/>
    <w:rsid w:val="00E124D8"/>
    <w:rsid w:val="0C1B68BA"/>
    <w:rsid w:val="3247039D"/>
    <w:rsid w:val="3E4B5FDC"/>
    <w:rsid w:val="5AD4356A"/>
    <w:rsid w:val="6EE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A9DD"/>
  <w15:docId w15:val="{4291001F-CB1D-4538-AFC0-CCF388A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2025-06-18T01:16:00Z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eyJoZGlkIjoiZDMwZjI0NDA3NGUwYmFjNzY1MGNmMGYzOTVhZjUyMjIiLCJ1c2VySWQiOiI1MDk3MzQ4MzIifQ==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29E45C8130974D29BBF9A6CE2E857253_12</vt:lpwstr>
  </property>
</Properties>
</file>